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5AA" w:rsidRPr="00D3226D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D3226D">
        <w:rPr>
          <w:rFonts w:cstheme="minorHAnsi"/>
          <w:b/>
          <w:color w:val="000000"/>
          <w:sz w:val="28"/>
          <w:szCs w:val="28"/>
        </w:rPr>
        <w:t>Activity report</w:t>
      </w:r>
    </w:p>
    <w:p w:rsidR="001835A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B7345A">
        <w:rPr>
          <w:rFonts w:cstheme="minorHAnsi"/>
          <w:color w:val="000000"/>
        </w:rPr>
        <w:t>Site:</w:t>
      </w:r>
      <w:r w:rsidRPr="00B7345A">
        <w:rPr>
          <w:rFonts w:cstheme="minorHAnsi"/>
          <w:b/>
          <w:color w:val="000000"/>
        </w:rPr>
        <w:t xml:space="preserve"> </w:t>
      </w:r>
      <w:proofErr w:type="spellStart"/>
      <w:r w:rsidRPr="004F6BCC">
        <w:rPr>
          <w:rFonts w:cstheme="minorHAnsi"/>
          <w:b/>
          <w:color w:val="000000"/>
        </w:rPr>
        <w:t>Endamohoni</w:t>
      </w:r>
      <w:proofErr w:type="spellEnd"/>
      <w:r w:rsidRPr="004F6BCC">
        <w:rPr>
          <w:rFonts w:cstheme="minorHAnsi"/>
          <w:b/>
          <w:color w:val="000000"/>
        </w:rPr>
        <w:t xml:space="preserve"> </w:t>
      </w:r>
      <w:proofErr w:type="spellStart"/>
      <w:r w:rsidRPr="004F6BCC">
        <w:rPr>
          <w:rFonts w:cstheme="minorHAnsi"/>
          <w:b/>
          <w:color w:val="000000"/>
        </w:rPr>
        <w:t>Woreda</w:t>
      </w:r>
      <w:proofErr w:type="spellEnd"/>
      <w:r w:rsidR="00B7345A" w:rsidRPr="004F6BCC">
        <w:rPr>
          <w:rFonts w:cstheme="minorHAnsi"/>
          <w:b/>
          <w:color w:val="000000"/>
        </w:rPr>
        <w:t>,</w:t>
      </w:r>
      <w:r w:rsidR="00B7345A" w:rsidRPr="00B7345A">
        <w:rPr>
          <w:rFonts w:cstheme="minorHAnsi"/>
          <w:color w:val="000000"/>
        </w:rPr>
        <w:t xml:space="preserve"> </w:t>
      </w:r>
      <w:proofErr w:type="spellStart"/>
      <w:r w:rsidR="00B7345A" w:rsidRPr="00B7345A">
        <w:rPr>
          <w:b/>
        </w:rPr>
        <w:t>Maichew</w:t>
      </w:r>
      <w:proofErr w:type="spellEnd"/>
      <w:r w:rsidR="00B7345A" w:rsidRPr="00B7345A">
        <w:rPr>
          <w:b/>
        </w:rPr>
        <w:t xml:space="preserve"> Zone Administrative Meeting Hall</w:t>
      </w:r>
      <w:r w:rsidRPr="00B7345A">
        <w:rPr>
          <w:rFonts w:cstheme="minorHAnsi"/>
          <w:color w:val="000000"/>
        </w:rPr>
        <w:t xml:space="preserve">  </w:t>
      </w:r>
    </w:p>
    <w:p w:rsidR="001835AA" w:rsidRPr="00B7345A" w:rsidRDefault="001835AA" w:rsidP="001835AA">
      <w:pPr>
        <w:spacing w:after="0"/>
        <w:jc w:val="both"/>
        <w:rPr>
          <w:rFonts w:cstheme="minorHAnsi"/>
          <w:b/>
          <w:color w:val="FF0000"/>
        </w:rPr>
      </w:pPr>
      <w:r w:rsidRPr="00B7345A">
        <w:rPr>
          <w:rFonts w:cstheme="minorHAnsi"/>
          <w:b/>
          <w:color w:val="000000"/>
        </w:rPr>
        <w:t xml:space="preserve">                                 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B7345A">
        <w:rPr>
          <w:rFonts w:cstheme="minorHAnsi"/>
          <w:i/>
          <w:iCs/>
          <w:color w:val="000000"/>
        </w:rPr>
        <w:t>I: Description of the activity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t>What is the nature of the activity?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>2</w:t>
      </w:r>
      <w:r w:rsidRPr="00B7345A">
        <w:rPr>
          <w:rFonts w:cstheme="minorHAnsi"/>
          <w:b/>
          <w:color w:val="1A1A1A"/>
          <w:vertAlign w:val="superscript"/>
        </w:rPr>
        <w:t>nd</w:t>
      </w:r>
      <w:r w:rsidRPr="00B7345A">
        <w:rPr>
          <w:rFonts w:cstheme="minorHAnsi"/>
          <w:b/>
          <w:color w:val="1A1A1A"/>
        </w:rPr>
        <w:t xml:space="preserve"> Innovation platform meeting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t xml:space="preserve">What were the objectives of the activity? </w:t>
      </w:r>
    </w:p>
    <w:p w:rsidR="001835AA" w:rsidRPr="00B7345A" w:rsidRDefault="001835AA" w:rsidP="001835AA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color w:val="1A1A1A"/>
        </w:rPr>
      </w:pPr>
    </w:p>
    <w:p w:rsidR="000D46F8" w:rsidRPr="00B7345A" w:rsidRDefault="000D46F8" w:rsidP="001835AA">
      <w:pPr>
        <w:pStyle w:val="ListParagraph"/>
        <w:numPr>
          <w:ilvl w:val="0"/>
          <w:numId w:val="2"/>
        </w:num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  <w:r w:rsidRPr="00B7345A">
        <w:rPr>
          <w:rFonts w:cs="Times New Roman"/>
          <w:b/>
          <w:color w:val="1A1A1A"/>
        </w:rPr>
        <w:t>To update IP members on ongoing</w:t>
      </w:r>
      <w:r w:rsidR="001835AA" w:rsidRPr="00B7345A">
        <w:rPr>
          <w:rFonts w:cs="Times New Roman"/>
          <w:b/>
          <w:color w:val="1A1A1A"/>
        </w:rPr>
        <w:t xml:space="preserve"> AR research activities</w:t>
      </w:r>
      <w:r w:rsidRPr="00B7345A">
        <w:rPr>
          <w:rFonts w:cs="Times New Roman"/>
          <w:b/>
          <w:color w:val="1A1A1A"/>
        </w:rPr>
        <w:t xml:space="preserve"> and to capture members’ feedback on t</w:t>
      </w:r>
      <w:r w:rsidR="004F6BCC">
        <w:rPr>
          <w:rFonts w:cs="Times New Roman"/>
          <w:b/>
          <w:color w:val="1A1A1A"/>
        </w:rPr>
        <w:t xml:space="preserve">he </w:t>
      </w:r>
      <w:r w:rsidRPr="00B7345A">
        <w:rPr>
          <w:rFonts w:cs="Times New Roman"/>
          <w:b/>
          <w:color w:val="1A1A1A"/>
        </w:rPr>
        <w:t>challenges AR is facing in the research site</w:t>
      </w:r>
      <w:r w:rsidR="001835AA" w:rsidRPr="00B7345A">
        <w:rPr>
          <w:rFonts w:cs="Times New Roman"/>
          <w:b/>
          <w:color w:val="1A1A1A"/>
        </w:rPr>
        <w:t xml:space="preserve"> </w:t>
      </w:r>
    </w:p>
    <w:p w:rsidR="000D46F8" w:rsidRPr="00B7345A" w:rsidRDefault="000D46F8" w:rsidP="00F96401">
      <w:pPr>
        <w:pStyle w:val="ListParagraph"/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</w:p>
    <w:p w:rsidR="001835AA" w:rsidRDefault="00F96401" w:rsidP="001835AA">
      <w:pPr>
        <w:pStyle w:val="ListParagraph"/>
        <w:numPr>
          <w:ilvl w:val="0"/>
          <w:numId w:val="2"/>
        </w:num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  <w:r w:rsidRPr="00B7345A">
        <w:rPr>
          <w:rFonts w:cs="Times New Roman"/>
          <w:b/>
          <w:color w:val="1A1A1A"/>
        </w:rPr>
        <w:t xml:space="preserve">To recap the innovation platform structure and function; to link </w:t>
      </w:r>
      <w:proofErr w:type="spellStart"/>
      <w:r w:rsidRPr="00B7345A">
        <w:rPr>
          <w:rFonts w:cs="Times New Roman"/>
          <w:b/>
          <w:color w:val="1A1A1A"/>
        </w:rPr>
        <w:t>woreda</w:t>
      </w:r>
      <w:proofErr w:type="spellEnd"/>
      <w:r w:rsidRPr="00B7345A">
        <w:rPr>
          <w:rFonts w:cs="Times New Roman"/>
          <w:b/>
          <w:color w:val="1A1A1A"/>
        </w:rPr>
        <w:t xml:space="preserve"> and </w:t>
      </w:r>
      <w:proofErr w:type="spellStart"/>
      <w:r w:rsidRPr="00B7345A">
        <w:rPr>
          <w:rFonts w:cs="Times New Roman"/>
          <w:b/>
          <w:color w:val="1A1A1A"/>
        </w:rPr>
        <w:t>kebele</w:t>
      </w:r>
      <w:proofErr w:type="spellEnd"/>
      <w:r w:rsidRPr="00B7345A">
        <w:rPr>
          <w:rFonts w:cs="Times New Roman"/>
          <w:b/>
          <w:color w:val="1A1A1A"/>
        </w:rPr>
        <w:t xml:space="preserve"> level IPs trough new selected farmer representatives and to collect IP monitoring and evaluation information </w:t>
      </w:r>
      <w:r w:rsidR="001835AA" w:rsidRPr="00B7345A">
        <w:rPr>
          <w:rFonts w:cs="Times New Roman"/>
          <w:b/>
          <w:color w:val="1A1A1A"/>
        </w:rPr>
        <w:t xml:space="preserve">  </w:t>
      </w:r>
    </w:p>
    <w:p w:rsidR="00C87881" w:rsidRPr="00C87881" w:rsidRDefault="00C87881" w:rsidP="00C87881">
      <w:pPr>
        <w:pStyle w:val="ListParagraph"/>
        <w:rPr>
          <w:rFonts w:cs="Times New Roman"/>
          <w:b/>
          <w:color w:val="1A1A1A"/>
        </w:rPr>
      </w:pPr>
    </w:p>
    <w:p w:rsidR="00C87881" w:rsidRPr="00186406" w:rsidRDefault="00C87881" w:rsidP="00C87881">
      <w:pPr>
        <w:pStyle w:val="ListParagraph"/>
        <w:numPr>
          <w:ilvl w:val="0"/>
          <w:numId w:val="2"/>
        </w:num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  <w:r w:rsidRPr="00186406">
        <w:rPr>
          <w:rFonts w:cs="Times New Roman"/>
          <w:b/>
          <w:color w:val="1A1A1A"/>
        </w:rPr>
        <w:t>To get inputs and to discuss on the type of technologies selected on AR annual review meeting for the  pre-scaling</w:t>
      </w:r>
      <w:r>
        <w:rPr>
          <w:rFonts w:cs="Times New Roman"/>
          <w:b/>
          <w:color w:val="1A1A1A"/>
        </w:rPr>
        <w:t xml:space="preserve"> up </w:t>
      </w:r>
      <w:r w:rsidRPr="00186406">
        <w:rPr>
          <w:rFonts w:cs="Times New Roman"/>
          <w:b/>
          <w:color w:val="1A1A1A"/>
        </w:rPr>
        <w:t xml:space="preserve"> work  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t xml:space="preserve">Who organized/originated the activity?     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b/>
          <w:color w:val="1A1A1A"/>
        </w:rPr>
        <w:t>Africa RISING</w:t>
      </w:r>
      <w:r w:rsidRPr="00B7345A">
        <w:rPr>
          <w:rFonts w:cstheme="minorHAnsi"/>
          <w:color w:val="1A1A1A"/>
        </w:rPr>
        <w:t xml:space="preserve"> </w:t>
      </w:r>
      <w:r w:rsidRPr="00B7345A">
        <w:rPr>
          <w:rFonts w:cstheme="minorHAnsi"/>
          <w:b/>
          <w:color w:val="1A1A1A"/>
        </w:rPr>
        <w:t>Site coordinators, IP technical group members and ILRI researchers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t xml:space="preserve">Date of the activity- </w:t>
      </w:r>
      <w:r w:rsidR="00F96401" w:rsidRPr="00B7345A">
        <w:rPr>
          <w:rFonts w:cstheme="minorHAnsi"/>
          <w:b/>
          <w:color w:val="1A1A1A"/>
        </w:rPr>
        <w:t>November 03-2014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B7345A">
        <w:rPr>
          <w:rFonts w:cstheme="minorHAnsi"/>
          <w:i/>
          <w:iCs/>
        </w:rPr>
        <w:t>II: Participation by IP actors in the activity (attach IP register for verification)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B7345A">
              <w:rPr>
                <w:rFonts w:cstheme="minorHAnsi"/>
                <w:b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B7345A">
              <w:rPr>
                <w:rFonts w:cstheme="minorHAnsi"/>
                <w:b/>
                <w:color w:val="1A1A1A"/>
              </w:rPr>
              <w:t>Number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male farmers</w:t>
            </w:r>
          </w:p>
        </w:tc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2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female farmers</w:t>
            </w:r>
          </w:p>
        </w:tc>
        <w:tc>
          <w:tcPr>
            <w:tcW w:w="4788" w:type="dxa"/>
          </w:tcPr>
          <w:p w:rsidR="001835AA" w:rsidRPr="00B7345A" w:rsidRDefault="00DE43BF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1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research organizations (Local and International)</w:t>
            </w:r>
          </w:p>
        </w:tc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3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7345A">
              <w:rPr>
                <w:rFonts w:cstheme="minorHAnsi"/>
              </w:rPr>
              <w:t xml:space="preserve">Number of policy organizations (including Zonal </w:t>
            </w:r>
            <w:proofErr w:type="spellStart"/>
            <w:r w:rsidRPr="00B7345A">
              <w:rPr>
                <w:rFonts w:cstheme="minorHAnsi"/>
              </w:rPr>
              <w:t>Woreda</w:t>
            </w:r>
            <w:proofErr w:type="spellEnd"/>
            <w:r w:rsidRPr="00B7345A">
              <w:rPr>
                <w:rFonts w:cstheme="minorHAnsi"/>
              </w:rPr>
              <w:t xml:space="preserve"> or </w:t>
            </w:r>
            <w:proofErr w:type="spellStart"/>
            <w:r w:rsidRPr="00B7345A">
              <w:rPr>
                <w:rFonts w:cstheme="minorHAnsi"/>
              </w:rPr>
              <w:t>kebele</w:t>
            </w:r>
            <w:proofErr w:type="spellEnd"/>
            <w:r w:rsidRPr="00B7345A">
              <w:rPr>
                <w:rFonts w:cstheme="minorHAnsi"/>
              </w:rPr>
              <w:t xml:space="preserve"> offices)</w:t>
            </w:r>
          </w:p>
        </w:tc>
        <w:tc>
          <w:tcPr>
            <w:tcW w:w="4788" w:type="dxa"/>
          </w:tcPr>
          <w:p w:rsidR="001835AA" w:rsidRPr="00B7345A" w:rsidRDefault="0036395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3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NGOs</w:t>
            </w:r>
          </w:p>
        </w:tc>
        <w:tc>
          <w:tcPr>
            <w:tcW w:w="4788" w:type="dxa"/>
          </w:tcPr>
          <w:p w:rsidR="001835AA" w:rsidRPr="00B7345A" w:rsidRDefault="0036395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1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farmer groups (clusters) represented</w:t>
            </w:r>
          </w:p>
        </w:tc>
        <w:tc>
          <w:tcPr>
            <w:tcW w:w="4788" w:type="dxa"/>
          </w:tcPr>
          <w:p w:rsidR="001835AA" w:rsidRPr="00B7345A" w:rsidRDefault="0036395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2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private sector organizations</w:t>
            </w:r>
          </w:p>
        </w:tc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 xml:space="preserve"> 0</w:t>
            </w:r>
          </w:p>
        </w:tc>
      </w:tr>
      <w:tr w:rsidR="001835AA" w:rsidRPr="00B7345A" w:rsidTr="006314B9">
        <w:tc>
          <w:tcPr>
            <w:tcW w:w="4788" w:type="dxa"/>
          </w:tcPr>
          <w:p w:rsidR="001835AA" w:rsidRPr="00B7345A" w:rsidRDefault="001835AA" w:rsidP="006314B9">
            <w:pPr>
              <w:rPr>
                <w:rFonts w:cstheme="minorHAnsi"/>
              </w:rPr>
            </w:pPr>
            <w:r w:rsidRPr="00B7345A">
              <w:rPr>
                <w:rFonts w:cstheme="minorHAnsi"/>
              </w:rPr>
              <w:t>Number of other groups and specify (e.g. farmer organizations, women group, youth group etc.)</w:t>
            </w:r>
          </w:p>
        </w:tc>
        <w:tc>
          <w:tcPr>
            <w:tcW w:w="4788" w:type="dxa"/>
          </w:tcPr>
          <w:p w:rsidR="001835AA" w:rsidRPr="00B7345A" w:rsidRDefault="001835AA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B7345A">
              <w:rPr>
                <w:rFonts w:cstheme="minorHAnsi"/>
                <w:color w:val="1A1A1A"/>
              </w:rPr>
              <w:t>0</w:t>
            </w:r>
          </w:p>
        </w:tc>
      </w:tr>
    </w:tbl>
    <w:p w:rsidR="001835AA" w:rsidRPr="00B7345A" w:rsidRDefault="001835AA" w:rsidP="001835AA"/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B7345A">
        <w:rPr>
          <w:rFonts w:cstheme="minorHAnsi"/>
          <w:i/>
          <w:color w:val="1A1A1A"/>
        </w:rPr>
        <w:t>III: Narrative description of the activity (Around 300 words)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lastRenderedPageBreak/>
        <w:t xml:space="preserve">Briefly describe the key elements of the activity-What went well and what did not go well? 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366C94" w:rsidRPr="00B7345A" w:rsidRDefault="00885A94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>It was in the Zonal Office of agriculture that</w:t>
      </w:r>
      <w:r w:rsidR="00F623B0">
        <w:rPr>
          <w:rFonts w:cstheme="minorHAnsi"/>
          <w:b/>
          <w:color w:val="1A1A1A"/>
        </w:rPr>
        <w:t xml:space="preserve"> the first IP meeting after </w:t>
      </w:r>
      <w:r w:rsidRPr="00B7345A">
        <w:rPr>
          <w:rFonts w:cstheme="minorHAnsi"/>
          <w:b/>
          <w:color w:val="1A1A1A"/>
        </w:rPr>
        <w:t xml:space="preserve">establishment was held. </w:t>
      </w:r>
      <w:r w:rsidR="00A54E21" w:rsidRPr="00B7345A">
        <w:rPr>
          <w:rFonts w:cstheme="minorHAnsi"/>
          <w:b/>
          <w:color w:val="1A1A1A"/>
        </w:rPr>
        <w:t xml:space="preserve">Just like the other research site, a recap of the IP structure and function was presented whereby new members representing the </w:t>
      </w:r>
      <w:proofErr w:type="spellStart"/>
      <w:r w:rsidR="00A54E21" w:rsidRPr="00B7345A">
        <w:rPr>
          <w:rFonts w:cstheme="minorHAnsi"/>
          <w:b/>
          <w:color w:val="1A1A1A"/>
        </w:rPr>
        <w:t>kebele</w:t>
      </w:r>
      <w:proofErr w:type="spellEnd"/>
      <w:r w:rsidR="00A54E21" w:rsidRPr="00B7345A">
        <w:rPr>
          <w:rFonts w:cstheme="minorHAnsi"/>
          <w:b/>
          <w:color w:val="1A1A1A"/>
        </w:rPr>
        <w:t xml:space="preserve"> IP and FRG groups were introduced to the whole assembly.</w:t>
      </w:r>
      <w:r w:rsidR="00F62E60" w:rsidRPr="00B7345A">
        <w:rPr>
          <w:rFonts w:cstheme="minorHAnsi"/>
          <w:b/>
          <w:color w:val="1A1A1A"/>
        </w:rPr>
        <w:t xml:space="preserve"> The </w:t>
      </w:r>
      <w:r w:rsidR="000C60CE" w:rsidRPr="00B7345A">
        <w:rPr>
          <w:rFonts w:cstheme="minorHAnsi"/>
          <w:b/>
          <w:color w:val="1A1A1A"/>
        </w:rPr>
        <w:t>facilitation</w:t>
      </w:r>
      <w:r w:rsidR="00F62E60" w:rsidRPr="00B7345A">
        <w:rPr>
          <w:rFonts w:cstheme="minorHAnsi"/>
          <w:b/>
          <w:color w:val="1A1A1A"/>
        </w:rPr>
        <w:t xml:space="preserve"> role was mostly left to the local IP facilitator and presentations were</w:t>
      </w:r>
      <w:r w:rsidR="00F623B0">
        <w:rPr>
          <w:rFonts w:cstheme="minorHAnsi"/>
          <w:b/>
          <w:color w:val="1A1A1A"/>
        </w:rPr>
        <w:t xml:space="preserve"> made</w:t>
      </w:r>
      <w:r w:rsidR="00F62E60" w:rsidRPr="00B7345A">
        <w:rPr>
          <w:rFonts w:cstheme="minorHAnsi"/>
          <w:b/>
          <w:color w:val="1A1A1A"/>
        </w:rPr>
        <w:t xml:space="preserve"> by communication and M&amp;E champions on </w:t>
      </w:r>
      <w:r w:rsidR="000C60CE" w:rsidRPr="00B7345A">
        <w:rPr>
          <w:rFonts w:cstheme="minorHAnsi"/>
          <w:b/>
          <w:color w:val="1A1A1A"/>
        </w:rPr>
        <w:t xml:space="preserve">different communication tools identified by IP members to be used at the local levels and on Most Significant Change Story technique. </w:t>
      </w:r>
      <w:r w:rsidR="00F62E60" w:rsidRPr="00B7345A">
        <w:rPr>
          <w:rFonts w:cstheme="minorHAnsi"/>
          <w:b/>
          <w:color w:val="1A1A1A"/>
        </w:rPr>
        <w:t xml:space="preserve"> </w:t>
      </w:r>
    </w:p>
    <w:p w:rsidR="00366C94" w:rsidRPr="00B7345A" w:rsidRDefault="00366C94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5F438E" w:rsidRPr="00B7345A" w:rsidRDefault="00366C94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 xml:space="preserve">Activity plan for the </w:t>
      </w:r>
      <w:proofErr w:type="spellStart"/>
      <w:r w:rsidR="005F438E" w:rsidRPr="00B7345A">
        <w:rPr>
          <w:rFonts w:cstheme="minorHAnsi"/>
          <w:b/>
          <w:color w:val="1A1A1A"/>
        </w:rPr>
        <w:t>woreda</w:t>
      </w:r>
      <w:proofErr w:type="spellEnd"/>
      <w:r w:rsidR="005F438E" w:rsidRPr="00B7345A">
        <w:rPr>
          <w:rFonts w:cstheme="minorHAnsi"/>
          <w:b/>
          <w:color w:val="1A1A1A"/>
        </w:rPr>
        <w:t xml:space="preserve"> </w:t>
      </w:r>
      <w:r w:rsidRPr="00B7345A">
        <w:rPr>
          <w:rFonts w:cstheme="minorHAnsi"/>
          <w:b/>
          <w:color w:val="1A1A1A"/>
        </w:rPr>
        <w:t>IP was developed</w:t>
      </w:r>
      <w:r w:rsidR="005F438E" w:rsidRPr="00B7345A">
        <w:rPr>
          <w:rFonts w:cstheme="minorHAnsi"/>
          <w:b/>
          <w:color w:val="1A1A1A"/>
        </w:rPr>
        <w:t xml:space="preserve"> where training need assessment of farmers and experts through the technical group, active participation on mid-season and end season </w:t>
      </w:r>
      <w:r w:rsidR="002460E0">
        <w:rPr>
          <w:rFonts w:cstheme="minorHAnsi"/>
          <w:b/>
          <w:color w:val="1A1A1A"/>
        </w:rPr>
        <w:t>evaluation of AR trials, and contributing and involving</w:t>
      </w:r>
      <w:r w:rsidR="00881ED3">
        <w:rPr>
          <w:rFonts w:cstheme="minorHAnsi"/>
          <w:b/>
          <w:color w:val="1A1A1A"/>
        </w:rPr>
        <w:t xml:space="preserve"> in</w:t>
      </w:r>
      <w:r w:rsidR="005F438E" w:rsidRPr="00B7345A">
        <w:rPr>
          <w:rFonts w:cstheme="minorHAnsi"/>
          <w:b/>
          <w:color w:val="1A1A1A"/>
        </w:rPr>
        <w:t xml:space="preserve"> AR pre-scaling up work were the major activities identified until the 3</w:t>
      </w:r>
      <w:r w:rsidR="005F438E" w:rsidRPr="00B7345A">
        <w:rPr>
          <w:rFonts w:cstheme="minorHAnsi"/>
          <w:b/>
          <w:color w:val="1A1A1A"/>
          <w:vertAlign w:val="superscript"/>
        </w:rPr>
        <w:t>rd</w:t>
      </w:r>
      <w:r w:rsidR="005F438E" w:rsidRPr="00B7345A">
        <w:rPr>
          <w:rFonts w:cstheme="minorHAnsi"/>
          <w:b/>
          <w:color w:val="1A1A1A"/>
        </w:rPr>
        <w:t xml:space="preserve"> IP meeting</w:t>
      </w:r>
      <w:r w:rsidR="00881ED3">
        <w:rPr>
          <w:rFonts w:cstheme="minorHAnsi"/>
          <w:b/>
          <w:color w:val="1A1A1A"/>
        </w:rPr>
        <w:t xml:space="preserve"> plan</w:t>
      </w:r>
      <w:bookmarkStart w:id="0" w:name="_GoBack"/>
      <w:bookmarkEnd w:id="0"/>
      <w:r w:rsidR="00881ED3">
        <w:rPr>
          <w:rFonts w:cstheme="minorHAnsi"/>
          <w:b/>
          <w:color w:val="1A1A1A"/>
        </w:rPr>
        <w:t xml:space="preserve">ned to be organized </w:t>
      </w:r>
      <w:r w:rsidR="005F438E" w:rsidRPr="00B7345A">
        <w:rPr>
          <w:rFonts w:cstheme="minorHAnsi"/>
          <w:b/>
          <w:color w:val="1A1A1A"/>
        </w:rPr>
        <w:t xml:space="preserve"> sometime in June 2015. </w:t>
      </w:r>
    </w:p>
    <w:p w:rsidR="00B7345A" w:rsidRDefault="00B7345A" w:rsidP="00B7345A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F81ADC" w:rsidRPr="00B7345A" w:rsidRDefault="00F81ADC" w:rsidP="005F43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 xml:space="preserve">IP members were satisfied with the research and capacity development activities that AR is doing and emphasized the importance of the event in filling their information gap. </w:t>
      </w:r>
    </w:p>
    <w:p w:rsidR="00F81ADC" w:rsidRPr="00B7345A" w:rsidRDefault="00DB29B6" w:rsidP="005F43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>La</w:t>
      </w:r>
      <w:r w:rsidR="00F81ADC" w:rsidRPr="00B7345A">
        <w:rPr>
          <w:rFonts w:cstheme="minorHAnsi"/>
          <w:b/>
          <w:color w:val="1A1A1A"/>
        </w:rPr>
        <w:t xml:space="preserve">ck of visible action to establish knowledge centers at the sites was a concern for the IP members- This is one activity that AR promised to undertake </w:t>
      </w:r>
    </w:p>
    <w:p w:rsidR="00F81ADC" w:rsidRPr="00B7345A" w:rsidRDefault="00F81ADC" w:rsidP="005F43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>Due to overlap of the IP meeting with a government organized field day, it experienced a relatively fewer presence of members</w:t>
      </w:r>
    </w:p>
    <w:p w:rsidR="005F438E" w:rsidRPr="00B7345A" w:rsidRDefault="00F81ADC" w:rsidP="00F81AD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 xml:space="preserve"> </w:t>
      </w:r>
    </w:p>
    <w:p w:rsidR="00A54E21" w:rsidRPr="00B7345A" w:rsidRDefault="005F438E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b/>
          <w:color w:val="1A1A1A"/>
        </w:rPr>
        <w:t xml:space="preserve">    </w:t>
      </w:r>
      <w:r w:rsidR="00366C94" w:rsidRPr="00B7345A">
        <w:rPr>
          <w:rFonts w:cstheme="minorHAnsi"/>
          <w:b/>
          <w:color w:val="1A1A1A"/>
        </w:rPr>
        <w:t xml:space="preserve"> </w:t>
      </w:r>
      <w:r w:rsidR="00A54E21" w:rsidRPr="00B7345A">
        <w:rPr>
          <w:rFonts w:cstheme="minorHAnsi"/>
          <w:b/>
          <w:color w:val="1A1A1A"/>
        </w:rPr>
        <w:t xml:space="preserve">  </w:t>
      </w:r>
      <w:r w:rsidR="00885A94" w:rsidRPr="00B7345A">
        <w:rPr>
          <w:rFonts w:cstheme="minorHAnsi"/>
          <w:b/>
          <w:color w:val="1A1A1A"/>
        </w:rPr>
        <w:t xml:space="preserve"> </w:t>
      </w: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B7345A">
        <w:rPr>
          <w:rFonts w:cstheme="minorHAnsi"/>
          <w:color w:val="1A1A1A"/>
        </w:rPr>
        <w:t>What key ‘next steps’ emerged from the activity</w:t>
      </w:r>
    </w:p>
    <w:p w:rsidR="00067858" w:rsidRPr="00B7345A" w:rsidRDefault="00067858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1835AA" w:rsidP="001835AA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835AA" w:rsidRPr="00B7345A" w:rsidRDefault="00067858" w:rsidP="001835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rFonts w:cstheme="minorHAnsi"/>
          <w:b/>
          <w:color w:val="1A1A1A"/>
        </w:rPr>
        <w:t xml:space="preserve">Before the next IP meeting, technical group members to meet and discuss on </w:t>
      </w:r>
      <w:r w:rsidRPr="00B7345A">
        <w:rPr>
          <w:b/>
        </w:rPr>
        <w:t xml:space="preserve">end season evaluation result and training need assessments for some of the protocols/FRGs </w:t>
      </w:r>
    </w:p>
    <w:p w:rsidR="00067858" w:rsidRPr="00B7345A" w:rsidRDefault="00067858" w:rsidP="001835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B7345A">
        <w:rPr>
          <w:b/>
        </w:rPr>
        <w:t xml:space="preserve">To revise the scaling up plan based on the end season evaluation result/data and input sources, cost and potential of the </w:t>
      </w:r>
      <w:proofErr w:type="spellStart"/>
      <w:r w:rsidRPr="00B7345A">
        <w:rPr>
          <w:b/>
        </w:rPr>
        <w:t>kebeles</w:t>
      </w:r>
      <w:proofErr w:type="spellEnd"/>
    </w:p>
    <w:sectPr w:rsidR="00067858" w:rsidRPr="00B7345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5AA" w:rsidRDefault="001835AA" w:rsidP="001835AA">
      <w:pPr>
        <w:spacing w:after="0" w:line="240" w:lineRule="auto"/>
      </w:pPr>
      <w:r>
        <w:separator/>
      </w:r>
    </w:p>
  </w:endnote>
  <w:endnote w:type="continuationSeparator" w:id="0">
    <w:p w:rsidR="001835AA" w:rsidRDefault="001835AA" w:rsidP="0018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5AA" w:rsidRDefault="001835AA" w:rsidP="001835AA">
      <w:pPr>
        <w:spacing w:after="0" w:line="240" w:lineRule="auto"/>
      </w:pPr>
      <w:r>
        <w:separator/>
      </w:r>
    </w:p>
  </w:footnote>
  <w:footnote w:type="continuationSeparator" w:id="0">
    <w:p w:rsidR="001835AA" w:rsidRDefault="001835AA" w:rsidP="0018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AA" w:rsidRDefault="001835AA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 wp14:anchorId="19F7516E" wp14:editId="3FFBB8C3">
          <wp:simplePos x="0" y="0"/>
          <wp:positionH relativeFrom="page">
            <wp:posOffset>0</wp:posOffset>
          </wp:positionH>
          <wp:positionV relativeFrom="paragraph">
            <wp:posOffset>-438150</wp:posOffset>
          </wp:positionV>
          <wp:extent cx="7781925" cy="742950"/>
          <wp:effectExtent l="0" t="0" r="9525" b="0"/>
          <wp:wrapSquare wrapText="bothSides"/>
          <wp:docPr id="3" name="Picture 3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6767"/>
    <w:multiLevelType w:val="hybridMultilevel"/>
    <w:tmpl w:val="35A6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D5895"/>
    <w:multiLevelType w:val="hybridMultilevel"/>
    <w:tmpl w:val="24F2B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04F79"/>
    <w:multiLevelType w:val="hybridMultilevel"/>
    <w:tmpl w:val="1DEC2AE6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AA"/>
    <w:rsid w:val="00067858"/>
    <w:rsid w:val="000C60CE"/>
    <w:rsid w:val="000D46F8"/>
    <w:rsid w:val="00105909"/>
    <w:rsid w:val="001835AA"/>
    <w:rsid w:val="002460E0"/>
    <w:rsid w:val="0036395E"/>
    <w:rsid w:val="00366C94"/>
    <w:rsid w:val="004F6BCC"/>
    <w:rsid w:val="005F438E"/>
    <w:rsid w:val="00881ED3"/>
    <w:rsid w:val="00885A94"/>
    <w:rsid w:val="00A54E21"/>
    <w:rsid w:val="00B7345A"/>
    <w:rsid w:val="00C87881"/>
    <w:rsid w:val="00DB29B6"/>
    <w:rsid w:val="00DE43BF"/>
    <w:rsid w:val="00F623B0"/>
    <w:rsid w:val="00F62E60"/>
    <w:rsid w:val="00F81ADC"/>
    <w:rsid w:val="00F9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5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5AA"/>
  </w:style>
  <w:style w:type="paragraph" w:styleId="Footer">
    <w:name w:val="footer"/>
    <w:basedOn w:val="Normal"/>
    <w:link w:val="FooterChar"/>
    <w:uiPriority w:val="99"/>
    <w:unhideWhenUsed/>
    <w:rsid w:val="0018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5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5AA"/>
  </w:style>
  <w:style w:type="paragraph" w:styleId="Footer">
    <w:name w:val="footer"/>
    <w:basedOn w:val="Normal"/>
    <w:link w:val="FooterChar"/>
    <w:uiPriority w:val="99"/>
    <w:unhideWhenUsed/>
    <w:rsid w:val="0018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AFD65-B558-4344-B915-E239602A2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29</cp:revision>
  <dcterms:created xsi:type="dcterms:W3CDTF">2015-03-25T07:57:00Z</dcterms:created>
  <dcterms:modified xsi:type="dcterms:W3CDTF">2015-03-29T08:47:00Z</dcterms:modified>
</cp:coreProperties>
</file>